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642F0F" w14:textId="11A39A3C" w:rsidR="006E5B56" w:rsidRPr="00545DF4" w:rsidRDefault="000634E5" w:rsidP="00E85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</w:pPr>
      <w:bookmarkStart w:id="0" w:name="_gjdgxs" w:colFirst="0" w:colLast="0"/>
      <w:bookmarkEnd w:id="0"/>
      <w:r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E</w:t>
      </w:r>
      <w:r w:rsidR="00CF3463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lectrification &amp;</w:t>
      </w:r>
      <w:r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 </w:t>
      </w:r>
      <w:r w:rsidR="00CF3463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Community</w:t>
      </w:r>
      <w:r w:rsidR="00AC7505" w:rsidRPr="00545DF4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421B76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Microgrid</w:t>
      </w:r>
      <w:proofErr w:type="spellEnd"/>
      <w:r w:rsidR="00A31410" w:rsidRPr="00A31410">
        <w:rPr>
          <w:rFonts w:asciiTheme="minorHAnsi" w:eastAsia="Times New Roman" w:hAnsiTheme="minorHAnsi" w:cs="Times New Roman"/>
          <w:b/>
          <w:bCs/>
          <w:color w:val="454545"/>
          <w:sz w:val="22"/>
          <w:szCs w:val="22"/>
          <w:shd w:val="clear" w:color="auto" w:fill="FFFFFF"/>
          <w:lang w:val="en-US"/>
        </w:rPr>
        <w:t>–</w:t>
      </w:r>
      <w:r w:rsidR="00421B76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ready</w:t>
      </w:r>
      <w:r w:rsidR="006E5B56" w:rsidRPr="00545DF4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 </w:t>
      </w:r>
      <w:r w:rsidR="009A2F3B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 xml:space="preserve">(ECMR) </w:t>
      </w:r>
      <w:r w:rsidR="00236857">
        <w:rPr>
          <w:rFonts w:asciiTheme="minorHAnsi" w:eastAsia="Calibri" w:hAnsiTheme="minorHAnsi" w:cs="Times New Roman"/>
          <w:b/>
          <w:color w:val="auto"/>
          <w:sz w:val="28"/>
          <w:szCs w:val="28"/>
          <w:lang w:val="en-US"/>
        </w:rPr>
        <w:t>document</w:t>
      </w:r>
    </w:p>
    <w:p w14:paraId="3128D03D" w14:textId="7DB44C1B" w:rsidR="006E5B56" w:rsidRDefault="00AC7505" w:rsidP="0054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Every community can benefit from resilience</w:t>
      </w:r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, and </w:t>
      </w:r>
      <w:proofErr w:type="spellStart"/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microgrids</w:t>
      </w:r>
      <w:proofErr w:type="spellEnd"/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can be a key part of a comprehensive resilience solution. Whether facing a wildfire, earthquake</w:t>
      </w:r>
      <w:r w:rsidR="00F838CA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,</w:t>
      </w:r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or coordinated threat, </w:t>
      </w:r>
      <w:proofErr w:type="spellStart"/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microgrids</w:t>
      </w:r>
      <w:proofErr w:type="spellEnd"/>
      <w:r w:rsidR="0095536E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enable continued access to energy by islanding from the utility grid during a grid outage. </w:t>
      </w:r>
      <w:r w:rsidR="00CD7E2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This page </w:t>
      </w:r>
      <w:r w:rsidR="00F24473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provides site definitions to support applying the specifications on the following page to various buildings and communities.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Both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proofErr w:type="spellStart"/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microgrid</w:t>
      </w:r>
      <w:proofErr w:type="spellEnd"/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t</w:t>
      </w:r>
      <w:r w:rsidR="005C04F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ypes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664FE2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defined below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electrify all on-site energy loads, incorporate high levels of local distributed energy resources (DER) like solar, energy storage, and load management, and provide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resilience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. Additionally, t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hese solutions</w:t>
      </w:r>
      <w:r w:rsidR="005C04F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are cost-effective and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can </w:t>
      </w:r>
      <w:r w:rsidR="00F838CA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provide</w:t>
      </w:r>
      <w:r w:rsidR="00F838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benefits to the grid and </w:t>
      </w:r>
      <w:r w:rsidR="00664FE2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to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other grid users by 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reducing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the 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cost of grid operations </w:t>
      </w:r>
      <w:r w:rsidR="00946F6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and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obviating the need for new </w:t>
      </w:r>
      <w:r w:rsidR="00196FC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grid </w:t>
      </w:r>
      <w:r w:rsidR="008109A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infrastructure investments.</w:t>
      </w:r>
    </w:p>
    <w:p w14:paraId="119FF09C" w14:textId="77777777" w:rsidR="00014873" w:rsidRPr="006A7253" w:rsidRDefault="00014873" w:rsidP="00545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6E5B56" w:rsidRPr="006E5B56" w14:paraId="1FCC8E03" w14:textId="77777777" w:rsidTr="00720659">
        <w:tc>
          <w:tcPr>
            <w:tcW w:w="9355" w:type="dxa"/>
            <w:gridSpan w:val="2"/>
            <w:shd w:val="clear" w:color="auto" w:fill="AEAAAA"/>
          </w:tcPr>
          <w:p w14:paraId="05C98A55" w14:textId="7B19C82D" w:rsidR="006E5B56" w:rsidRPr="006E5B56" w:rsidRDefault="00421B76" w:rsidP="006E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ppleSystemUIFont"/>
                <w:b/>
                <w:color w:val="353535"/>
              </w:rPr>
            </w:pPr>
            <w:proofErr w:type="spellStart"/>
            <w:r>
              <w:rPr>
                <w:rFonts w:asciiTheme="minorHAnsi" w:hAnsiTheme="minorHAnsi" w:cs="AppleSystemUIFont"/>
                <w:b/>
                <w:color w:val="353535"/>
              </w:rPr>
              <w:t>Microgrid</w:t>
            </w:r>
            <w:proofErr w:type="spellEnd"/>
            <w:r>
              <w:rPr>
                <w:rFonts w:asciiTheme="minorHAnsi" w:hAnsiTheme="minorHAnsi" w:cs="AppleSystemUIFont"/>
                <w:b/>
                <w:color w:val="353535"/>
              </w:rPr>
              <w:t>-ready</w:t>
            </w:r>
            <w:r w:rsidR="006E5B56" w:rsidRPr="006E5B56">
              <w:rPr>
                <w:rFonts w:asciiTheme="minorHAnsi" w:hAnsiTheme="minorHAnsi" w:cs="AppleSystemUIFont"/>
                <w:b/>
                <w:color w:val="353535"/>
              </w:rPr>
              <w:t xml:space="preserve"> </w:t>
            </w:r>
            <w:r w:rsidR="00F838CA">
              <w:rPr>
                <w:rFonts w:asciiTheme="minorHAnsi" w:hAnsiTheme="minorHAnsi" w:cs="AppleSystemUIFont"/>
                <w:b/>
                <w:color w:val="353535"/>
              </w:rPr>
              <w:t>s</w:t>
            </w:r>
            <w:r w:rsidR="006E5B56">
              <w:rPr>
                <w:rFonts w:asciiTheme="minorHAnsi" w:hAnsiTheme="minorHAnsi" w:cs="AppleSystemUIFont"/>
                <w:b/>
                <w:color w:val="353535"/>
              </w:rPr>
              <w:t>ite</w:t>
            </w:r>
            <w:r w:rsidR="006E5B56" w:rsidRPr="006E5B56">
              <w:rPr>
                <w:rFonts w:asciiTheme="minorHAnsi" w:hAnsiTheme="minorHAnsi" w:cs="AppleSystemUIFont"/>
                <w:b/>
                <w:color w:val="353535"/>
              </w:rPr>
              <w:t xml:space="preserve"> </w:t>
            </w:r>
            <w:r w:rsidR="00F838CA">
              <w:rPr>
                <w:rFonts w:asciiTheme="minorHAnsi" w:hAnsiTheme="minorHAnsi" w:cs="AppleSystemUIFont"/>
                <w:b/>
                <w:color w:val="353535"/>
              </w:rPr>
              <w:t>d</w:t>
            </w:r>
            <w:r w:rsidR="006E5B56">
              <w:rPr>
                <w:rFonts w:asciiTheme="minorHAnsi" w:hAnsiTheme="minorHAnsi" w:cs="AppleSystemUIFont"/>
                <w:b/>
                <w:color w:val="353535"/>
              </w:rPr>
              <w:t>efinitions</w:t>
            </w:r>
          </w:p>
        </w:tc>
      </w:tr>
      <w:tr w:rsidR="006E5B56" w:rsidRPr="006E5B56" w14:paraId="36E91EC1" w14:textId="77777777" w:rsidTr="00720659">
        <w:tc>
          <w:tcPr>
            <w:tcW w:w="9355" w:type="dxa"/>
            <w:gridSpan w:val="2"/>
          </w:tcPr>
          <w:p w14:paraId="792EAE0C" w14:textId="1305E980" w:rsidR="00946F64" w:rsidRPr="00545DF4" w:rsidRDefault="00946F64" w:rsidP="00F543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  <w:szCs w:val="20"/>
              </w:rPr>
            </w:pPr>
            <w:proofErr w:type="spellStart"/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Microgrids</w:t>
            </w:r>
            <w:proofErr w:type="spellEnd"/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are capable of disconnecting from the grid</w:t>
            </w:r>
            <w:r w:rsidR="00DE41D8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in the event of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a</w:t>
            </w:r>
            <w:r w:rsidR="00DE41D8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grid disruption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; this functionality is known as “islanding.” </w:t>
            </w:r>
            <w:r w:rsidR="00141D2C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Renewable energy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proofErr w:type="spellStart"/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microgrids</w:t>
            </w:r>
            <w:proofErr w:type="spellEnd"/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must be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equipped with on-site renewable generation (e.g.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solar), energy storage (e.g.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batteries), 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and a </w:t>
            </w:r>
            <w:proofErr w:type="spellStart"/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</w:t>
            </w:r>
            <w:proofErr w:type="spellEnd"/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controller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. </w:t>
            </w:r>
            <w:proofErr w:type="spellStart"/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icrogrids</w:t>
            </w:r>
            <w:proofErr w:type="spellEnd"/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may include 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smart electric appliances and 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smart electric vehicle (EV) charg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ers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 which provide additional functionality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The </w:t>
            </w:r>
            <w:proofErr w:type="spellStart"/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</w:t>
            </w:r>
            <w:proofErr w:type="spellEnd"/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controller monitors, communicates with, and controls the DER and smart appliances;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the </w:t>
            </w:r>
            <w:proofErr w:type="spellStart"/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</w:t>
            </w:r>
            <w:proofErr w:type="spellEnd"/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controller must also be able to communicate with the grid operator.</w:t>
            </w:r>
          </w:p>
          <w:p w14:paraId="0ED7F740" w14:textId="2721722A" w:rsidR="00946F64" w:rsidRDefault="009B4FDB" w:rsidP="00946F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Microgrid</w:t>
            </w:r>
            <w:proofErr w:type="spellEnd"/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</w:t>
            </w:r>
            <w:r w:rsidR="00946F64" w:rsidRP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Type 1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: Single </w:t>
            </w:r>
            <w:r w:rsidR="000D556E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c</w:t>
            </w:r>
            <w:r w:rsidR="008109A1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ustomer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—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Lo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ads and generation are behind 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 single customer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’s utility </w:t>
            </w:r>
            <w:r w:rsidR="00325A2A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meter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. Islanding occurs </w:t>
            </w:r>
            <w:r w:rsidR="008B057F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behind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the customer</w:t>
            </w:r>
            <w:r w:rsidR="00196F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’s utility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meter.</w:t>
            </w:r>
          </w:p>
          <w:p w14:paraId="5CEB0DD4" w14:textId="409F0760" w:rsidR="00325A2A" w:rsidRPr="00946F64" w:rsidRDefault="00325A2A" w:rsidP="00545DF4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Facility 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e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xamples: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Single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-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family home, office building,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hospital</w:t>
            </w:r>
            <w:r w:rsidR="009B4FD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,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or campus</w:t>
            </w:r>
            <w:r w:rsidR="009D7EB4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</w:p>
          <w:p w14:paraId="71242743" w14:textId="0299A2C8" w:rsidR="006E5B56" w:rsidRPr="00111770" w:rsidRDefault="009B4FDB" w:rsidP="00946F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  <w:szCs w:val="20"/>
              </w:rPr>
            </w:pPr>
            <w:proofErr w:type="spellStart"/>
            <w:r w:rsidRPr="00111770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Micro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grid</w:t>
            </w:r>
            <w:proofErr w:type="spellEnd"/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Type </w:t>
            </w:r>
            <w:r w:rsidR="00946F64" w:rsidRP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2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: Community</w:t>
            </w:r>
            <w:r w:rsidR="00664FE2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-</w:t>
            </w:r>
            <w:r w:rsidR="000D556E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s</w:t>
            </w:r>
            <w:r w:rsidR="00946F64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cale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—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Lo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ads and generation are behind 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or in front of multiple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customers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’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utility meter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s but are all downstream of a distribution substation.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Islanding occurs </w:t>
            </w:r>
            <w:r w:rsidR="008D588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in front of the customers’ utility meters (such as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at the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distribution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feeder</w:t>
            </w:r>
            <w:r w:rsidR="008D588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)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and include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multiple utility </w:t>
            </w:r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customer</w:t>
            </w:r>
            <w:r w:rsidR="009D7EB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, including 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Type 1 </w:t>
            </w:r>
            <w:proofErr w:type="spellStart"/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microgrids</w:t>
            </w:r>
            <w:proofErr w:type="spellEnd"/>
            <w:r w:rsidR="009D7EB4"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</w:p>
          <w:p w14:paraId="5AFB8642" w14:textId="5B0679C4" w:rsidR="009D7EB4" w:rsidRPr="00545DF4" w:rsidRDefault="009D7EB4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Facility 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e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xamples: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Multi-family housing, housing subdivision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civic center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with multiple </w:t>
            </w:r>
            <w:r w:rsidRPr="00DB7B2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building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</w:t>
            </w:r>
            <w:r w:rsidR="009B4FD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, or retail complex.</w:t>
            </w:r>
          </w:p>
          <w:p w14:paraId="65A99C96" w14:textId="48F6CE9D" w:rsidR="000D556E" w:rsidRPr="00545DF4" w:rsidRDefault="000D556E" w:rsidP="000D55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Critical </w:t>
            </w:r>
            <w:r w:rsidR="00F838CA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>l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oads: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When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 </w:t>
            </w:r>
            <w:proofErr w:type="spellStart"/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</w:t>
            </w:r>
            <w:proofErr w:type="spellEnd"/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is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operating in island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mode,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load-shedding can extend the length of </w:t>
            </w:r>
            <w:r w:rsidR="00AC580B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outage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through which 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microgrid</w:t>
            </w:r>
            <w:proofErr w:type="spellEnd"/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can </w:t>
            </w:r>
            <w:r w:rsidR="00111770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maintain power continuity</w:t>
            </w: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 Tier 1 loads are life-saving critical loads, Tier 2 loads are occasionally needed, and Tier 3 loads are non-critical.</w:t>
            </w:r>
          </w:p>
        </w:tc>
      </w:tr>
      <w:tr w:rsidR="006E5B56" w:rsidRPr="006E5B56" w14:paraId="6E12D795" w14:textId="77777777" w:rsidTr="00545DF4">
        <w:tc>
          <w:tcPr>
            <w:tcW w:w="5035" w:type="dxa"/>
            <w:shd w:val="clear" w:color="auto" w:fill="D0CECE"/>
          </w:tcPr>
          <w:p w14:paraId="284D9A0C" w14:textId="77777777" w:rsidR="006E5B56" w:rsidRPr="006E5B56" w:rsidRDefault="006E5B56" w:rsidP="006E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ppleSystemUIFont"/>
                <w:color w:val="353535"/>
              </w:rPr>
            </w:pPr>
            <w:r w:rsidRPr="006E5B56">
              <w:rPr>
                <w:rFonts w:asciiTheme="minorHAnsi" w:hAnsiTheme="minorHAnsi" w:cs="AppleSystemUIFont"/>
                <w:b/>
                <w:color w:val="353535"/>
              </w:rPr>
              <w:t>Normal operations</w:t>
            </w:r>
          </w:p>
        </w:tc>
        <w:tc>
          <w:tcPr>
            <w:tcW w:w="4320" w:type="dxa"/>
            <w:shd w:val="clear" w:color="auto" w:fill="D0CECE"/>
          </w:tcPr>
          <w:p w14:paraId="441B8039" w14:textId="77777777" w:rsidR="006E5B56" w:rsidRPr="006E5B56" w:rsidRDefault="006E5B56" w:rsidP="006E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ppleSystemUIFont"/>
                <w:color w:val="353535"/>
              </w:rPr>
            </w:pPr>
            <w:r w:rsidRPr="006E5B56">
              <w:rPr>
                <w:rFonts w:asciiTheme="minorHAnsi" w:hAnsiTheme="minorHAnsi" w:cs="AppleSystemUIFont"/>
                <w:b/>
                <w:color w:val="353535"/>
              </w:rPr>
              <w:t>Emergency operations</w:t>
            </w:r>
          </w:p>
        </w:tc>
      </w:tr>
      <w:tr w:rsidR="006E5B56" w:rsidRPr="006E5B56" w14:paraId="09FD96E3" w14:textId="77777777" w:rsidTr="00545DF4">
        <w:tc>
          <w:tcPr>
            <w:tcW w:w="5035" w:type="dxa"/>
          </w:tcPr>
          <w:p w14:paraId="628CF9C5" w14:textId="5609983A" w:rsidR="0024462A" w:rsidRDefault="00F543C9" w:rsidP="002446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On-site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DER deliver energy to all loads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and </w:t>
            </w:r>
            <w:r w:rsidR="008B057F">
              <w:rPr>
                <w:rFonts w:asciiTheme="minorHAnsi" w:hAnsiTheme="minorHAnsi" w:cs="AppleSystemUIFont"/>
                <w:color w:val="353535"/>
                <w:sz w:val="20"/>
              </w:rPr>
              <w:t xml:space="preserve">may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>export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excess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energy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generat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ion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to the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grid</w:t>
            </w:r>
            <w:r w:rsidR="008B057F">
              <w:rPr>
                <w:rFonts w:asciiTheme="minorHAnsi" w:hAnsiTheme="minorHAnsi" w:cs="AppleSystemUIFont"/>
                <w:color w:val="353535"/>
                <w:sz w:val="20"/>
              </w:rPr>
              <w:t>, depending on interconnection and tariff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.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Smart electric a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ppliances and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smart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EV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c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hargers </w:t>
            </w:r>
            <w:r w:rsidR="00141D2C">
              <w:rPr>
                <w:rFonts w:asciiTheme="minorHAnsi" w:hAnsiTheme="minorHAnsi" w:cs="AppleSystemUIFont"/>
                <w:color w:val="353535"/>
                <w:sz w:val="20"/>
              </w:rPr>
              <w:t xml:space="preserve">can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perform demand response by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turning on or off according to grid needs; resources are dispatched based on signals from grid operators.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Energy storage enables 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>self-powering and/or load-shifting to off-peak times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.</w:t>
            </w:r>
            <w:r w:rsidR="00141D2C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U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 xml:space="preserve">tilities,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Community Choice Aggregators (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>CCAs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)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 xml:space="preserve">, or </w:t>
            </w:r>
            <w:r w:rsidR="00821431">
              <w:rPr>
                <w:rFonts w:asciiTheme="minorHAnsi" w:hAnsiTheme="minorHAnsi" w:cs="AppleSystemUIFont"/>
                <w:color w:val="353535"/>
                <w:sz w:val="20"/>
              </w:rPr>
              <w:t xml:space="preserve">Type 1 </w:t>
            </w:r>
            <w:r w:rsidR="0024462A">
              <w:rPr>
                <w:rFonts w:asciiTheme="minorHAnsi" w:hAnsiTheme="minorHAnsi" w:cs="AppleSystemUIFont"/>
                <w:color w:val="353535"/>
                <w:sz w:val="20"/>
              </w:rPr>
              <w:t>on-site users maintain control over site operations in accordance with operations contracts.</w:t>
            </w:r>
          </w:p>
          <w:p w14:paraId="6D5139EE" w14:textId="7CC311C0" w:rsidR="00946F64" w:rsidRPr="006E5B56" w:rsidRDefault="00946F64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</w:p>
          <w:p w14:paraId="73EDBF20" w14:textId="682A4CD8" w:rsidR="006E5B56" w:rsidRPr="00545DF4" w:rsidRDefault="006E5B56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</w:rPr>
            </w:pPr>
            <w:r w:rsidRPr="00545DF4">
              <w:rPr>
                <w:rFonts w:asciiTheme="minorHAnsi" w:hAnsiTheme="minorHAnsi" w:cs="AppleSystemUIFont"/>
                <w:b/>
                <w:color w:val="353535"/>
                <w:sz w:val="20"/>
              </w:rPr>
              <w:t>Benefits:</w:t>
            </w:r>
          </w:p>
          <w:p w14:paraId="02CA180E" w14:textId="69A9B0FB" w:rsidR="006E5B56" w:rsidRPr="006E5B56" w:rsidRDefault="00F838CA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R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>educe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d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>customer utility bill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>s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 during peak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>times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, with b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>oth energy and demand charges reduced</w:t>
            </w:r>
          </w:p>
          <w:p w14:paraId="6BB6F670" w14:textId="72BD775B" w:rsidR="006E5B56" w:rsidRDefault="000D556E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R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 xml:space="preserve">enewable 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energy for the broader </w:t>
            </w:r>
            <w:r w:rsidR="00F543C9">
              <w:rPr>
                <w:rFonts w:asciiTheme="minorHAnsi" w:hAnsiTheme="minorHAnsi" w:cs="AppleSystemUIFont"/>
                <w:color w:val="353535"/>
                <w:sz w:val="20"/>
              </w:rPr>
              <w:t>grid</w:t>
            </w:r>
          </w:p>
          <w:p w14:paraId="73351333" w14:textId="7EA9A3BE" w:rsidR="005F1462" w:rsidRPr="006E5B56" w:rsidRDefault="005F1462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>GHG reductions of up to 69% or more*</w:t>
            </w:r>
          </w:p>
          <w:p w14:paraId="651908FE" w14:textId="47B83FAD" w:rsidR="00946F64" w:rsidRPr="00545DF4" w:rsidRDefault="00946F64" w:rsidP="00545D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ppleSystemUIFont"/>
                <w:color w:val="353535"/>
              </w:rPr>
            </w:pPr>
          </w:p>
        </w:tc>
        <w:tc>
          <w:tcPr>
            <w:tcW w:w="4320" w:type="dxa"/>
          </w:tcPr>
          <w:p w14:paraId="07831FA4" w14:textId="3D95B67C" w:rsidR="005C04F8" w:rsidRDefault="009B4FDB" w:rsidP="005C04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During a grid outage, the </w:t>
            </w:r>
            <w:proofErr w:type="spellStart"/>
            <w:r>
              <w:rPr>
                <w:rFonts w:asciiTheme="minorHAnsi" w:hAnsiTheme="minorHAnsi" w:cs="AppleSystemUIFont"/>
                <w:color w:val="353535"/>
                <w:sz w:val="20"/>
              </w:rPr>
              <w:t>microgrid</w:t>
            </w:r>
            <w:proofErr w:type="spellEnd"/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disconnects from the grid and operate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>s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in island mode. 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 xml:space="preserve">At minimum, DER 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serve predefined </w:t>
            </w:r>
            <w:r w:rsidR="006E5B56" w:rsidRPr="00545DF4">
              <w:rPr>
                <w:rFonts w:asciiTheme="minorHAnsi" w:hAnsiTheme="minorHAnsi" w:cs="AppleSystemUIFont"/>
                <w:i/>
                <w:color w:val="353535"/>
                <w:sz w:val="20"/>
              </w:rPr>
              <w:t>critical loads</w:t>
            </w:r>
            <w:r w:rsidR="00946F64">
              <w:rPr>
                <w:rFonts w:asciiTheme="minorHAnsi" w:hAnsiTheme="minorHAnsi" w:cs="AppleSystemUIFont"/>
                <w:color w:val="353535"/>
                <w:sz w:val="20"/>
              </w:rPr>
              <w:t xml:space="preserve">. </w:t>
            </w:r>
            <w:r w:rsidR="000C01B8" w:rsidRPr="00946F64">
              <w:rPr>
                <w:rFonts w:asciiTheme="minorHAnsi" w:hAnsiTheme="minorHAnsi" w:cs="AppleSystemUIFont"/>
                <w:i/>
                <w:color w:val="353535"/>
                <w:sz w:val="20"/>
                <w:szCs w:val="20"/>
              </w:rPr>
              <w:t>Non-critical loads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are 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powered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based on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real-time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energy 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generation and storage </w:t>
            </w:r>
            <w:r w:rsidR="000C01B8" w:rsidRPr="00946F6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availability</w:t>
            </w:r>
            <w:r w:rsidR="000C01B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.</w:t>
            </w:r>
            <w:r w:rsidR="005C04F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 </w:t>
            </w:r>
            <w:r w:rsidR="005C04F8">
              <w:rPr>
                <w:rFonts w:asciiTheme="minorHAnsi" w:hAnsiTheme="minorHAnsi" w:cs="AppleSystemUIFont"/>
                <w:color w:val="353535"/>
                <w:sz w:val="20"/>
              </w:rPr>
              <w:t xml:space="preserve">Increasing energy storage duration increases backup power capabilities. </w:t>
            </w:r>
          </w:p>
          <w:p w14:paraId="2841F1D4" w14:textId="192421B3" w:rsidR="000C01B8" w:rsidRDefault="000C01B8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</w:p>
          <w:p w14:paraId="0343643F" w14:textId="2297C4CC" w:rsidR="000C01B8" w:rsidRDefault="000C01B8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 w:rsidRPr="00545DF4">
              <w:rPr>
                <w:rFonts w:asciiTheme="minorHAnsi" w:hAnsiTheme="minorHAnsi" w:cs="AppleSystemUIFont"/>
                <w:b/>
                <w:color w:val="353535"/>
                <w:sz w:val="20"/>
              </w:rPr>
              <w:t>Type 1</w:t>
            </w:r>
            <w:r>
              <w:rPr>
                <w:rFonts w:asciiTheme="minorHAnsi" w:hAnsiTheme="minorHAnsi" w:cs="AppleSystemUIFont"/>
                <w:b/>
                <w:color w:val="353535"/>
                <w:sz w:val="20"/>
              </w:rPr>
              <w:t>: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 On-site resources serve on-site loads</w:t>
            </w:r>
            <w:r w:rsidR="000D556E">
              <w:rPr>
                <w:rFonts w:asciiTheme="minorHAnsi" w:hAnsiTheme="minorHAnsi" w:cs="AppleSystemUIFont"/>
                <w:color w:val="353535"/>
                <w:sz w:val="20"/>
              </w:rPr>
              <w:t xml:space="preserve"> only</w:t>
            </w:r>
            <w:r>
              <w:rPr>
                <w:rFonts w:asciiTheme="minorHAnsi" w:hAnsiTheme="minorHAnsi" w:cs="AppleSystemUIFont"/>
                <w:color w:val="353535"/>
                <w:sz w:val="20"/>
              </w:rPr>
              <w:t>.</w:t>
            </w:r>
          </w:p>
          <w:p w14:paraId="609023DD" w14:textId="67701B5C" w:rsidR="000C01B8" w:rsidRDefault="000C01B8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Type 2: </w:t>
            </w:r>
            <w:r w:rsidR="000D556E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On-site resources may be used to power off-site loads, and vice-versa. Community-wide </w:t>
            </w:r>
            <w:r w:rsidR="005C04F8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Tier 1 </w:t>
            </w:r>
            <w:r w:rsidR="000D556E" w:rsidRPr="00545DF4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loads are prioritized.</w:t>
            </w:r>
            <w:r w:rsidR="000D556E">
              <w:rPr>
                <w:rFonts w:asciiTheme="minorHAnsi" w:hAnsiTheme="minorHAnsi" w:cs="AppleSystemUIFont"/>
                <w:b/>
                <w:color w:val="353535"/>
                <w:sz w:val="20"/>
                <w:szCs w:val="20"/>
              </w:rPr>
              <w:t xml:space="preserve"> </w:t>
            </w:r>
          </w:p>
          <w:p w14:paraId="60285F83" w14:textId="77777777" w:rsidR="00946F64" w:rsidRPr="006E5B56" w:rsidRDefault="00946F64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20"/>
              </w:rPr>
            </w:pPr>
          </w:p>
          <w:p w14:paraId="10081D27" w14:textId="77777777" w:rsidR="006E5B56" w:rsidRPr="00545DF4" w:rsidRDefault="006E5B56" w:rsidP="006E5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b/>
                <w:color w:val="353535"/>
                <w:sz w:val="20"/>
              </w:rPr>
            </w:pPr>
            <w:r w:rsidRPr="00545DF4">
              <w:rPr>
                <w:rFonts w:asciiTheme="minorHAnsi" w:hAnsiTheme="minorHAnsi" w:cs="AppleSystemUIFont"/>
                <w:b/>
                <w:color w:val="353535"/>
                <w:sz w:val="20"/>
              </w:rPr>
              <w:t xml:space="preserve">Benefits: </w:t>
            </w:r>
          </w:p>
          <w:p w14:paraId="22531E9C" w14:textId="2DF77110" w:rsidR="006E5B56" w:rsidRPr="006E5B56" w:rsidRDefault="00F543C9" w:rsidP="006E5B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</w:rPr>
              <w:t xml:space="preserve">Increased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r</w:t>
            </w:r>
            <w:r w:rsidR="006E5B56"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esilience </w:t>
            </w:r>
          </w:p>
          <w:p w14:paraId="69CA1E69" w14:textId="08B95187" w:rsidR="00946F64" w:rsidRPr="001D10AD" w:rsidRDefault="006E5B56" w:rsidP="001D10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6" w:hanging="180"/>
              <w:contextualSpacing/>
              <w:rPr>
                <w:rFonts w:asciiTheme="minorHAnsi" w:hAnsiTheme="minorHAnsi" w:cs="AppleSystemUIFont"/>
                <w:color w:val="353535"/>
                <w:sz w:val="20"/>
              </w:rPr>
            </w:pPr>
            <w:r w:rsidRPr="006E5B56">
              <w:rPr>
                <w:rFonts w:asciiTheme="minorHAnsi" w:hAnsiTheme="minorHAnsi" w:cs="AppleSystemUIFont"/>
                <w:color w:val="353535"/>
                <w:sz w:val="20"/>
              </w:rPr>
              <w:t xml:space="preserve">Energy 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 xml:space="preserve">and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</w:rPr>
              <w:t>t</w:t>
            </w:r>
            <w:r w:rsidR="001D10AD">
              <w:rPr>
                <w:rFonts w:asciiTheme="minorHAnsi" w:hAnsiTheme="minorHAnsi" w:cs="AppleSystemUIFont"/>
                <w:color w:val="353535"/>
                <w:sz w:val="20"/>
              </w:rPr>
              <w:t xml:space="preserve">ransportation </w:t>
            </w:r>
            <w:r w:rsidRPr="006E5B56">
              <w:rPr>
                <w:rFonts w:asciiTheme="minorHAnsi" w:hAnsiTheme="minorHAnsi" w:cs="AppleSystemUIFont"/>
                <w:color w:val="353535"/>
                <w:sz w:val="20"/>
              </w:rPr>
              <w:t>security</w:t>
            </w:r>
          </w:p>
        </w:tc>
      </w:tr>
      <w:tr w:rsidR="006E5B56" w:rsidRPr="006E5B56" w14:paraId="0CC4A0B8" w14:textId="77777777" w:rsidTr="00720659">
        <w:tc>
          <w:tcPr>
            <w:tcW w:w="9355" w:type="dxa"/>
            <w:gridSpan w:val="2"/>
          </w:tcPr>
          <w:p w14:paraId="2E36F0E7" w14:textId="0CA9C31A" w:rsidR="00382667" w:rsidRPr="00382667" w:rsidRDefault="00382667" w:rsidP="003826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ppleSystemUIFont"/>
                <w:color w:val="353535"/>
                <w:sz w:val="16"/>
                <w:szCs w:val="16"/>
              </w:rPr>
            </w:pPr>
            <w:r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*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Electricity,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r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esidential,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c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ommercial, and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t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ransportation comprise 69% of </w:t>
            </w:r>
            <w:r w:rsidR="00F838CA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>st</w:t>
            </w:r>
            <w:r w:rsidRPr="00A35049">
              <w:rPr>
                <w:rFonts w:asciiTheme="minorHAnsi" w:hAnsiTheme="minorHAnsi" w:cs="AppleSystemUIFont"/>
                <w:color w:val="353535"/>
                <w:sz w:val="20"/>
                <w:szCs w:val="20"/>
              </w:rPr>
              <w:t xml:space="preserve">ate GHG emissions, according to the </w:t>
            </w:r>
            <w:hyperlink r:id="rId7" w:history="1">
              <w:r w:rsidRPr="00A35049">
                <w:rPr>
                  <w:rStyle w:val="Hyperlink"/>
                  <w:rFonts w:asciiTheme="minorHAnsi" w:hAnsiTheme="minorHAnsi" w:cs="AppleSystemUIFont"/>
                  <w:sz w:val="20"/>
                  <w:szCs w:val="20"/>
                </w:rPr>
                <w:t>2018 C-ARB report</w:t>
              </w:r>
            </w:hyperlink>
          </w:p>
        </w:tc>
      </w:tr>
    </w:tbl>
    <w:p w14:paraId="0F4D1A41" w14:textId="10F85BA1" w:rsidR="006E5B56" w:rsidRPr="00B814F4" w:rsidRDefault="009A2F3B" w:rsidP="00E85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</w:pPr>
      <w:r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  <w:lastRenderedPageBreak/>
        <w:t>ECMR</w:t>
      </w:r>
      <w:r w:rsidR="000634E5"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  <w:t xml:space="preserve"> </w:t>
      </w:r>
      <w:r w:rsidR="008D5884">
        <w:rPr>
          <w:rFonts w:asciiTheme="minorHAnsi" w:eastAsia="Calibri" w:hAnsiTheme="minorHAnsi" w:cs="AppleSystemUIFont"/>
          <w:b/>
          <w:color w:val="353535"/>
          <w:sz w:val="28"/>
          <w:szCs w:val="32"/>
          <w:lang w:val="en-US"/>
        </w:rPr>
        <w:t>guidelines</w:t>
      </w:r>
    </w:p>
    <w:p w14:paraId="1BF4F6DF" w14:textId="6492384F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Residential properties participating in a </w:t>
      </w:r>
      <w:proofErr w:type="spellStart"/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microgrid</w:t>
      </w:r>
      <w:proofErr w:type="spellEnd"/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and/or responding to emissions reduction targets 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are ideally all-electric. </w:t>
      </w:r>
      <w:r w:rsidR="008D5884" w:rsidRPr="006A7253">
        <w:rPr>
          <w:sz w:val="22"/>
          <w:szCs w:val="22"/>
        </w:rPr>
        <w:t xml:space="preserve">All-electric homes may </w:t>
      </w:r>
      <w:r w:rsidR="00E95158">
        <w:rPr>
          <w:sz w:val="22"/>
          <w:szCs w:val="22"/>
        </w:rPr>
        <w:t>provide</w:t>
      </w:r>
      <w:r w:rsidR="00E95158" w:rsidRPr="006A7253">
        <w:rPr>
          <w:sz w:val="22"/>
          <w:szCs w:val="22"/>
        </w:rPr>
        <w:t xml:space="preserve"> </w:t>
      </w:r>
      <w:r w:rsidR="008D5884" w:rsidRPr="006A7253">
        <w:rPr>
          <w:sz w:val="22"/>
          <w:szCs w:val="22"/>
        </w:rPr>
        <w:t xml:space="preserve">increased value for </w:t>
      </w:r>
      <w:proofErr w:type="spellStart"/>
      <w:r w:rsidR="008D5884" w:rsidRPr="006A7253">
        <w:rPr>
          <w:sz w:val="22"/>
          <w:szCs w:val="22"/>
        </w:rPr>
        <w:t>microgrids</w:t>
      </w:r>
      <w:proofErr w:type="spellEnd"/>
      <w:r w:rsidR="008D5884" w:rsidRPr="006A7253">
        <w:rPr>
          <w:sz w:val="22"/>
          <w:szCs w:val="22"/>
        </w:rPr>
        <w:t xml:space="preserve"> and backup power because they rely on electricity for more essential services; however</w:t>
      </w:r>
      <w:r w:rsidR="00E95158">
        <w:rPr>
          <w:sz w:val="22"/>
          <w:szCs w:val="22"/>
        </w:rPr>
        <w:t>,</w:t>
      </w:r>
      <w:r w:rsidR="008D5884" w:rsidRPr="006A7253">
        <w:rPr>
          <w:sz w:val="22"/>
          <w:szCs w:val="22"/>
        </w:rPr>
        <w:t xml:space="preserve"> all-electric</w:t>
      </w:r>
      <w:r w:rsidR="00E95158">
        <w:rPr>
          <w:sz w:val="22"/>
          <w:szCs w:val="22"/>
        </w:rPr>
        <w:t xml:space="preserve"> homes</w:t>
      </w:r>
      <w:r w:rsidR="008D5884" w:rsidRPr="006A7253">
        <w:rPr>
          <w:sz w:val="22"/>
          <w:szCs w:val="22"/>
        </w:rPr>
        <w:t xml:space="preserve"> may be impractical in some cold climates</w:t>
      </w:r>
      <w:r w:rsidR="001D10AD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. If all-electric design is not </w:t>
      </w:r>
      <w:r w:rsidR="00E95158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currently</w:t>
      </w:r>
      <w:r w:rsidR="00E9515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1D10AD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possible, designs should at minimum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include the electrical service features described below to facilitate future </w:t>
      </w:r>
      <w:r w:rsidR="001D10AD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full</w:t>
      </w:r>
      <w:r w:rsidR="00E95158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electrification and on-site solar generation.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The guidelines below vary by building</w:t>
      </w:r>
      <w:r w:rsidR="008D588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;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consult your electrician and/or engineer</w:t>
      </w:r>
      <w:r w:rsidR="008D588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for site-specific recommendations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.</w:t>
      </w:r>
    </w:p>
    <w:p w14:paraId="1FAF98E3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</w:p>
    <w:p w14:paraId="2E890812" w14:textId="50BE180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Wiring</w:t>
      </w:r>
      <w:r w:rsidR="008D5884"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: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Install dedicated circuits and receptacles for all</w:t>
      </w:r>
      <w:r w:rsidR="00BF327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-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electric appliances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in SFDs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:</w:t>
      </w:r>
    </w:p>
    <w:p w14:paraId="5A075894" w14:textId="27AC99E3" w:rsidR="006E5B56" w:rsidRPr="006A7253" w:rsidRDefault="00DE41D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sz w:val="22"/>
          <w:szCs w:val="22"/>
        </w:rPr>
        <w:t xml:space="preserve">Connected </w:t>
      </w:r>
      <w:hyperlink r:id="rId8" w:history="1">
        <w:r w:rsidR="00196FCA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heat pump (HP)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w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ater heat</w:t>
        </w:r>
        <w:r w:rsidR="00BF3274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er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(15-30 amp, 240V)</w:t>
      </w:r>
    </w:p>
    <w:p w14:paraId="66DE0EE3" w14:textId="23986F09" w:rsidR="006E5B56" w:rsidRPr="006A7253" w:rsidRDefault="0014228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9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HP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E92A4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lothes dry</w:t>
      </w:r>
      <w:r w:rsidR="00BF327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er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(30 amp, 240V)</w:t>
      </w:r>
    </w:p>
    <w:p w14:paraId="6FEE1498" w14:textId="74A6F07D" w:rsidR="006E5B56" w:rsidRPr="006A7253" w:rsidRDefault="0014228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10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Induction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lectric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range (50 amp, 240V)</w:t>
      </w:r>
    </w:p>
    <w:p w14:paraId="1B990E45" w14:textId="29E87062" w:rsidR="006E5B56" w:rsidRPr="006A7253" w:rsidRDefault="00DE41D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sz w:val="22"/>
          <w:szCs w:val="22"/>
        </w:rPr>
        <w:t xml:space="preserve">Connected </w:t>
      </w:r>
      <w:hyperlink r:id="rId11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HP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s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pace condition</w:t>
        </w:r>
        <w:r w:rsidR="00BF3274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er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(30</w:t>
      </w:r>
      <w:r w:rsidR="0024462A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-60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amp, 240V)</w:t>
      </w:r>
    </w:p>
    <w:p w14:paraId="59C53B11" w14:textId="552C1759" w:rsidR="006E5B56" w:rsidRPr="006A7253" w:rsidRDefault="00142288" w:rsidP="00545DF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12" w:history="1">
        <w:r w:rsidR="00DE41D8" w:rsidRPr="006A7253">
          <w:rPr>
            <w:rStyle w:val="Hyperlink"/>
            <w:rFonts w:asciiTheme="minorHAnsi" w:eastAsia="Calibri" w:hAnsiTheme="minorHAnsi" w:cs="AppleSystemUIFont"/>
            <w:sz w:val="22"/>
            <w:szCs w:val="22"/>
            <w:lang w:val="en-US"/>
          </w:rPr>
          <w:t xml:space="preserve">Connected </w:t>
        </w:r>
        <w:r w:rsidR="006E5B56" w:rsidRPr="006A7253">
          <w:rPr>
            <w:rStyle w:val="Hyperlink"/>
            <w:rFonts w:asciiTheme="minorHAnsi" w:eastAsia="Calibri" w:hAnsiTheme="minorHAnsi" w:cs="AppleSystemUIFont"/>
            <w:sz w:val="22"/>
            <w:szCs w:val="22"/>
            <w:lang w:val="en-US"/>
          </w:rPr>
          <w:t>EV charg</w:t>
        </w:r>
        <w:r w:rsidR="00BF3274">
          <w:rPr>
            <w:rStyle w:val="Hyperlink"/>
            <w:rFonts w:asciiTheme="minorHAnsi" w:eastAsia="Calibri" w:hAnsiTheme="minorHAnsi" w:cs="AppleSystemUIFont"/>
            <w:sz w:val="22"/>
            <w:szCs w:val="22"/>
            <w:lang w:val="en-US"/>
          </w:rPr>
          <w:t>er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(40-80 amp, 240V)</w:t>
      </w:r>
    </w:p>
    <w:p w14:paraId="7E77D862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</w:p>
    <w:p w14:paraId="56B5264E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“Solar-ready” electrical service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for future solar array:</w:t>
      </w:r>
    </w:p>
    <w:p w14:paraId="7E8B5E2A" w14:textId="17889092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Main service panel (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MSP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) 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rated 225 amps (allows for a 200</w:t>
      </w:r>
      <w:r w:rsidR="00E95158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-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amp main breaker plus bus bar capacity for a solar array of up to 70 amps)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</w:p>
    <w:p w14:paraId="43A87DAC" w14:textId="77777777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Double-pole circuit breaker</w:t>
      </w:r>
    </w:p>
    <w:p w14:paraId="60C2E012" w14:textId="1E082CD0" w:rsidR="00650D15" w:rsidRPr="008D5884" w:rsidRDefault="00650D15" w:rsidP="00650D15">
      <w:pPr>
        <w:pStyle w:val="CommentText"/>
        <w:numPr>
          <w:ilvl w:val="0"/>
          <w:numId w:val="2"/>
        </w:numPr>
        <w:rPr>
          <w:sz w:val="22"/>
          <w:szCs w:val="22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Metallic </w:t>
      </w:r>
      <w:r w:rsidR="008D588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onduit for future solar installation </w:t>
      </w:r>
      <w:r w:rsidRP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(</w:t>
      </w:r>
      <w:r w:rsidRPr="008D5884">
        <w:rPr>
          <w:sz w:val="22"/>
          <w:szCs w:val="22"/>
        </w:rPr>
        <w:t>from roof to inverter location/panelboard</w:t>
      </w:r>
      <w:r w:rsidRP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)</w:t>
      </w:r>
    </w:p>
    <w:p w14:paraId="438187BD" w14:textId="4BBBBFEE" w:rsidR="006E5B56" w:rsidRPr="006A7253" w:rsidRDefault="00863323" w:rsidP="008633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564"/>
        </w:tabs>
        <w:autoSpaceDE w:val="0"/>
        <w:autoSpaceDN w:val="0"/>
        <w:adjustRightInd w:val="0"/>
        <w:ind w:left="720"/>
        <w:contextualSpacing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ab/>
      </w:r>
    </w:p>
    <w:p w14:paraId="5B412BA9" w14:textId="6D1EDF58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“Energy Storage System (ESS)</w:t>
      </w:r>
      <w:r w:rsidR="000C1518" w:rsidRPr="00A31410">
        <w:rPr>
          <w:rFonts w:asciiTheme="minorHAnsi" w:eastAsia="Times New Roman" w:hAnsiTheme="minorHAnsi" w:cs="Times New Roman"/>
          <w:b/>
          <w:bCs/>
          <w:color w:val="454545"/>
          <w:sz w:val="22"/>
          <w:szCs w:val="22"/>
          <w:shd w:val="clear" w:color="auto" w:fill="FFFFFF"/>
          <w:lang w:val="en-US"/>
        </w:rPr>
        <w:t>–</w:t>
      </w: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ready”</w:t>
      </w:r>
      <w:r w:rsidR="008D5884"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:</w:t>
      </w:r>
    </w:p>
    <w:p w14:paraId="6E34CF9A" w14:textId="5A97EFA0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Designated area for ESS. Size of this area will depend on required/desired loads to be served by system (i.e., critical loads for backup only vs. full operability in grid outage)</w:t>
      </w:r>
    </w:p>
    <w:p w14:paraId="7B0D45A5" w14:textId="609BF731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Main </w:t>
      </w:r>
      <w:r w:rsidR="00E92A41"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e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lectrical main line “loop” to battery location, between electrical service meter and main </w:t>
      </w:r>
      <w:r w:rsidR="00934BA7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panel 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or subpanel</w:t>
      </w:r>
    </w:p>
    <w:p w14:paraId="40378C73" w14:textId="2B4CE223" w:rsidR="00650D15" w:rsidRPr="006A7253" w:rsidRDefault="00650D15" w:rsidP="00650D1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Loop main subpanel power lead to designated ESS location</w:t>
      </w:r>
    </w:p>
    <w:p w14:paraId="300255B1" w14:textId="6A81F53B" w:rsidR="00B814F4" w:rsidRPr="006A7253" w:rsidRDefault="00B814F4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Separate </w:t>
      </w:r>
      <w:r w:rsidR="008D5884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subpanel for </w:t>
      </w:r>
      <w:r w:rsidRPr="006A7253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>loads</w:t>
      </w:r>
      <w:r w:rsidR="008D5884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 that require backup</w:t>
      </w:r>
      <w:r w:rsidR="00CF3463" w:rsidRPr="006A7253">
        <w:rPr>
          <w:rFonts w:asciiTheme="minorHAnsi" w:eastAsia="Calibri" w:hAnsiTheme="minorHAnsi" w:cs="AppleSystemUIFontBold"/>
          <w:bCs/>
          <w:color w:val="auto"/>
          <w:sz w:val="22"/>
          <w:szCs w:val="22"/>
          <w:lang w:val="en-US"/>
        </w:rPr>
        <w:t xml:space="preserve"> (can be added during remodel)</w:t>
      </w:r>
    </w:p>
    <w:p w14:paraId="194718F6" w14:textId="6D713736" w:rsidR="00A47A60" w:rsidRPr="006A7253" w:rsidRDefault="00432533" w:rsidP="00A47A6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Capacity in sub panel for </w:t>
      </w:r>
      <w:bookmarkStart w:id="1" w:name="_GoBack"/>
      <w:bookmarkEnd w:id="1"/>
      <w:r w:rsidR="00A47A60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“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</w:t>
      </w:r>
      <w:r w:rsidR="00A47A60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mergency circuits” to serve critical loads (e.g., refrigerator, HVAC, 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water heating</w:t>
      </w:r>
      <w:r w:rsidR="00A47A60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, microwave) </w:t>
      </w:r>
      <w:r w:rsidR="008D588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and outlets </w:t>
      </w:r>
      <w:r w:rsidR="00A47A60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with battery power during grid outages </w:t>
      </w:r>
    </w:p>
    <w:p w14:paraId="4735D123" w14:textId="77777777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Ethernet line from main router to ESS location</w:t>
      </w:r>
    </w:p>
    <w:p w14:paraId="76A511D7" w14:textId="1073776F" w:rsidR="006E5B56" w:rsidRPr="006A7253" w:rsidRDefault="006E5B56" w:rsidP="006E5B56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 xml:space="preserve">Conduit for communication from </w:t>
      </w:r>
      <w:r w:rsidR="00E92A41"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s</w:t>
      </w:r>
      <w:r w:rsidRPr="006A7253"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  <w:t>olar inverter(s) to ESS location</w:t>
      </w:r>
    </w:p>
    <w:p w14:paraId="35AA550D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Bold"/>
          <w:bCs/>
          <w:color w:val="353535"/>
          <w:sz w:val="22"/>
          <w:szCs w:val="22"/>
          <w:lang w:val="en-US"/>
        </w:rPr>
      </w:pPr>
    </w:p>
    <w:p w14:paraId="628D9595" w14:textId="712F7301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Additional recommended features</w:t>
      </w:r>
      <w:r w:rsidR="008D5884" w:rsidRPr="006A7253">
        <w:rPr>
          <w:rFonts w:asciiTheme="minorHAnsi" w:eastAsia="Calibri" w:hAnsiTheme="minorHAnsi" w:cs="AppleSystemUIFontBold"/>
          <w:b/>
          <w:bCs/>
          <w:color w:val="353535"/>
          <w:sz w:val="22"/>
          <w:szCs w:val="22"/>
          <w:lang w:val="en-US"/>
        </w:rPr>
        <w:t>:</w:t>
      </w:r>
    </w:p>
    <w:p w14:paraId="335CFEF4" w14:textId="7BEA57E4" w:rsidR="005F6A49" w:rsidRPr="006A7253" w:rsidRDefault="00394EA9" w:rsidP="005F6A49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M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ain electrical panel </w:t>
      </w:r>
      <w:r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sized 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for all existing and future loads, including </w:t>
      </w:r>
      <w:r w:rsid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s</w:t>
      </w:r>
      <w:r w:rsidR="005F6A49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olar and ESS</w:t>
      </w:r>
    </w:p>
    <w:p w14:paraId="6CB0685E" w14:textId="70D6C7DC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Conduit or </w:t>
      </w:r>
      <w:r w:rsidR="00E92A4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w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iring for level 2 V2B infrastructure</w:t>
      </w:r>
    </w:p>
    <w:p w14:paraId="20D5DE9B" w14:textId="301FA600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Eaton “</w:t>
      </w:r>
      <w:hyperlink r:id="rId13" w:history="1">
        <w:r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Pow-R-Command</w:t>
        </w:r>
      </w:hyperlink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” main electrical panel</w:t>
      </w:r>
      <w:r w:rsidR="007B67DC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(auto load sheds, monitors, </w:t>
      </w:r>
      <w:r w:rsid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and</w:t>
      </w:r>
      <w:r w:rsidR="00A31410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</w:t>
      </w:r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efficie</w:t>
      </w:r>
      <w:r w:rsidR="007B67DC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ncy</w:t>
      </w:r>
      <w:r w:rsidR="00A43DA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)</w:t>
      </w:r>
    </w:p>
    <w:p w14:paraId="1C4E2B26" w14:textId="77777777" w:rsidR="006E5B56" w:rsidRPr="006A7253" w:rsidRDefault="006E5B56" w:rsidP="006E5B5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Conditioned space </w:t>
      </w:r>
      <w:hyperlink r:id="rId14" w:history="1">
        <w:r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air sealing</w:t>
        </w:r>
      </w:hyperlink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(less than 1.0 ACH @ 50m pascal)</w:t>
      </w:r>
    </w:p>
    <w:p w14:paraId="733C159C" w14:textId="0A13C4C4" w:rsidR="00496A38" w:rsidRPr="006A7253" w:rsidRDefault="00142288" w:rsidP="00496A38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hyperlink r:id="rId15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Heat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r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ecovery /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nergy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r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 xml:space="preserve">ecovery </w:t>
        </w:r>
        <w:r w:rsidR="00E92A41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v</w:t>
        </w:r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entilation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(HRV or ERV; </w:t>
      </w:r>
      <w:r w:rsidR="003B2F54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use w/ air sealing for high I.A.Q.</w:t>
      </w:r>
      <w:r w:rsidR="00496A38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)</w:t>
      </w:r>
    </w:p>
    <w:p w14:paraId="39987822" w14:textId="53C37F53" w:rsidR="00DE41D8" w:rsidRPr="00A31410" w:rsidRDefault="00DE41D8" w:rsidP="00E852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lang w:val="en-US"/>
        </w:rPr>
      </w:pPr>
      <w:r w:rsidRP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Communications conduit for demand response</w:t>
      </w:r>
      <w:r w:rsidR="00A31410" w:rsidRPr="00A31410">
        <w:rPr>
          <w:rFonts w:asciiTheme="minorHAnsi" w:eastAsia="Times New Roman" w:hAnsiTheme="minorHAnsi" w:cs="Times New Roman"/>
          <w:bCs/>
          <w:color w:val="454545"/>
          <w:sz w:val="22"/>
          <w:szCs w:val="22"/>
          <w:shd w:val="clear" w:color="auto" w:fill="FFFFFF"/>
          <w:lang w:val="en-US"/>
        </w:rPr>
        <w:t>–</w:t>
      </w:r>
      <w:r w:rsidRPr="00A31410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capable electric appliances</w:t>
      </w:r>
    </w:p>
    <w:p w14:paraId="7DDA1A15" w14:textId="23CBE3C9" w:rsidR="006E5B56" w:rsidRPr="006A7253" w:rsidRDefault="00DF3177" w:rsidP="00496A38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Connect</w:t>
      </w:r>
      <w:r w:rsidR="00CF3463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ivity; </w:t>
      </w:r>
      <w:hyperlink r:id="rId16" w:history="1">
        <w:r w:rsidR="001217CA" w:rsidRPr="006A7253">
          <w:rPr>
            <w:rStyle w:val="Hyperlink"/>
            <w:rFonts w:asciiTheme="minorHAnsi" w:hAnsiTheme="minorHAnsi" w:cs="Arial"/>
            <w:sz w:val="22"/>
            <w:szCs w:val="22"/>
          </w:rPr>
          <w:t>Open ADR</w:t>
        </w:r>
      </w:hyperlink>
      <w:r w:rsidR="001217CA" w:rsidRPr="006A7253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, </w:t>
      </w:r>
      <w:hyperlink r:id="rId17" w:anchor="gs.YkXhRp0" w:history="1">
        <w:r w:rsidR="00444FD6" w:rsidRPr="006A7253">
          <w:rPr>
            <w:rStyle w:val="Hyperlink"/>
            <w:rFonts w:asciiTheme="minorHAnsi" w:hAnsiTheme="minorHAnsi" w:cs="Arial"/>
            <w:sz w:val="22"/>
            <w:szCs w:val="22"/>
          </w:rPr>
          <w:t>CT</w:t>
        </w:r>
        <w:r w:rsidR="00496A38" w:rsidRPr="006A7253">
          <w:rPr>
            <w:rStyle w:val="Hyperlink"/>
            <w:rFonts w:asciiTheme="minorHAnsi" w:hAnsiTheme="minorHAnsi" w:cs="Arial"/>
            <w:sz w:val="22"/>
            <w:szCs w:val="22"/>
          </w:rPr>
          <w:t>A 2045</w:t>
        </w:r>
      </w:hyperlink>
      <w:r w:rsidR="00CF3463" w:rsidRPr="006A7253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@ appliances</w:t>
      </w:r>
      <w:r w:rsidRPr="006A7253">
        <w:rPr>
          <w:rFonts w:asciiTheme="minorHAnsi" w:hAnsiTheme="minorHAnsi" w:cs="Arial"/>
          <w:sz w:val="22"/>
          <w:szCs w:val="22"/>
        </w:rPr>
        <w:t xml:space="preserve">, </w:t>
      </w:r>
      <w:r w:rsidR="00CF3463" w:rsidRPr="006A7253">
        <w:rPr>
          <w:rStyle w:val="Hyperlink"/>
          <w:rFonts w:asciiTheme="minorHAnsi" w:hAnsiTheme="minorHAnsi" w:cs="Arial"/>
          <w:sz w:val="22"/>
          <w:szCs w:val="22"/>
        </w:rPr>
        <w:t>IEEE 2030</w:t>
      </w:r>
      <w:r w:rsidR="00B57890" w:rsidRPr="006A7253">
        <w:rPr>
          <w:rStyle w:val="Hyperlink"/>
          <w:rFonts w:asciiTheme="minorHAnsi" w:hAnsiTheme="minorHAnsi" w:cs="Arial"/>
          <w:sz w:val="22"/>
          <w:szCs w:val="22"/>
        </w:rPr>
        <w:t>.5</w:t>
      </w:r>
      <w:r w:rsidR="008308EA" w:rsidRPr="006A7253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8308EA" w:rsidRPr="006A7253">
        <w:rPr>
          <w:rFonts w:asciiTheme="minorHAnsi" w:hAnsiTheme="minorHAnsi" w:cs="Arial"/>
          <w:color w:val="auto"/>
          <w:sz w:val="22"/>
          <w:szCs w:val="22"/>
        </w:rPr>
        <w:t>@ energy storage</w:t>
      </w:r>
    </w:p>
    <w:p w14:paraId="33278A32" w14:textId="77777777" w:rsidR="006E5B56" w:rsidRPr="006A7253" w:rsidRDefault="006E5B5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</w:p>
    <w:p w14:paraId="0EED6FAB" w14:textId="4AEDA96D" w:rsidR="006E5B56" w:rsidRPr="006A7253" w:rsidRDefault="00421B76" w:rsidP="006E5B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Microgrid</w:t>
      </w:r>
      <w:proofErr w:type="spellEnd"/>
      <w:r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-ready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 xml:space="preserve"> </w:t>
      </w:r>
      <w:r w:rsidR="00D025AF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c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 xml:space="preserve">ommercial </w:t>
      </w:r>
      <w:r w:rsidR="00D025AF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s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tructure</w:t>
      </w:r>
      <w:r w:rsidR="00946F64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/</w:t>
      </w:r>
      <w:r w:rsidR="00D025AF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c</w:t>
      </w:r>
      <w:r w:rsidR="00946F64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 xml:space="preserve">ampus </w:t>
      </w:r>
      <w:r w:rsidR="006E5B56" w:rsidRPr="006A7253">
        <w:rPr>
          <w:rFonts w:asciiTheme="minorHAnsi" w:eastAsia="Calibri" w:hAnsiTheme="minorHAnsi" w:cs="AppleSystemUIFont"/>
          <w:b/>
          <w:color w:val="353535"/>
          <w:sz w:val="22"/>
          <w:szCs w:val="22"/>
          <w:lang w:val="en-US"/>
        </w:rPr>
        <w:t>recommended features:</w:t>
      </w:r>
    </w:p>
    <w:p w14:paraId="45E19BE2" w14:textId="11E9AAA4" w:rsidR="006E5B56" w:rsidRPr="006A7253" w:rsidRDefault="000634E5" w:rsidP="006E5B5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Interconnected 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Eaton “</w:t>
      </w:r>
      <w:hyperlink r:id="rId18" w:history="1">
        <w:r w:rsidR="006E5B56" w:rsidRPr="006A7253">
          <w:rPr>
            <w:rFonts w:asciiTheme="minorHAnsi" w:eastAsia="Calibri" w:hAnsiTheme="minorHAnsi" w:cs="AppleSystemUIFont"/>
            <w:color w:val="0563C1"/>
            <w:sz w:val="22"/>
            <w:szCs w:val="22"/>
            <w:u w:val="single"/>
            <w:lang w:val="en-US"/>
          </w:rPr>
          <w:t>Pow-R-Command</w:t>
        </w:r>
      </w:hyperlink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” main electrical panel</w:t>
      </w:r>
      <w:r w:rsidR="00946F64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(s)</w:t>
      </w:r>
      <w:r w:rsidR="006E5B56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 and subpanels</w:t>
      </w:r>
    </w:p>
    <w:p w14:paraId="7B25FFBF" w14:textId="77777777" w:rsidR="006E5B56" w:rsidRPr="006A7253" w:rsidRDefault="006E5B56" w:rsidP="006E5B5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Wiring for level 2 and 3 DC-FC EV charging</w:t>
      </w:r>
    </w:p>
    <w:p w14:paraId="6605F91B" w14:textId="50A350C9" w:rsidR="00920FCF" w:rsidRPr="006A7253" w:rsidRDefault="006E5B56" w:rsidP="00FB749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contextualSpacing/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</w:pP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 xml:space="preserve">Wiring for </w:t>
      </w:r>
      <w:r w:rsidR="00E92A41"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l</w:t>
      </w:r>
      <w:r w:rsidRPr="006A7253">
        <w:rPr>
          <w:rFonts w:asciiTheme="minorHAnsi" w:eastAsia="Calibri" w:hAnsiTheme="minorHAnsi" w:cs="AppleSystemUIFont"/>
          <w:color w:val="353535"/>
          <w:sz w:val="22"/>
          <w:szCs w:val="22"/>
          <w:lang w:val="en-US"/>
        </w:rPr>
        <w:t>evel 2 (and 3 DC-FC) V2B and V2G</w:t>
      </w:r>
    </w:p>
    <w:sectPr w:rsidR="00920FCF" w:rsidRPr="006A7253" w:rsidSect="00D025AF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152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7675" w14:textId="77777777" w:rsidR="00142288" w:rsidRDefault="00142288">
      <w:r>
        <w:separator/>
      </w:r>
    </w:p>
  </w:endnote>
  <w:endnote w:type="continuationSeparator" w:id="0">
    <w:p w14:paraId="0FFE1E4C" w14:textId="77777777" w:rsidR="00142288" w:rsidRDefault="0014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ED27" w14:textId="557D70C8" w:rsidR="00CD7E29" w:rsidRPr="00545DF4" w:rsidRDefault="00CD7E29" w:rsidP="00545DF4">
    <w:pPr>
      <w:pStyle w:val="Footer"/>
      <w:ind w:left="720"/>
      <w:jc w:val="right"/>
      <w:rPr>
        <w:rFonts w:asciiTheme="minorHAnsi" w:hAnsiTheme="minorHAnsi"/>
      </w:rPr>
    </w:pPr>
    <w:r w:rsidRPr="00545DF4">
      <w:rPr>
        <w:rFonts w:asciiTheme="minorHAnsi" w:hAnsiTheme="minorHAnsi"/>
      </w:rPr>
      <w:t xml:space="preserve">Page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PAGE </w:instrText>
    </w:r>
    <w:r w:rsidRPr="00545DF4">
      <w:rPr>
        <w:rFonts w:asciiTheme="minorHAnsi" w:hAnsiTheme="minorHAnsi"/>
      </w:rPr>
      <w:fldChar w:fldCharType="separate"/>
    </w:r>
    <w:r w:rsidR="0033611B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  <w:r w:rsidRPr="00545DF4">
      <w:rPr>
        <w:rFonts w:asciiTheme="minorHAnsi" w:hAnsiTheme="minorHAnsi"/>
      </w:rPr>
      <w:t xml:space="preserve"> of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NUMPAGES </w:instrText>
    </w:r>
    <w:r w:rsidRPr="00545DF4">
      <w:rPr>
        <w:rFonts w:asciiTheme="minorHAnsi" w:hAnsiTheme="minorHAnsi"/>
      </w:rPr>
      <w:fldChar w:fldCharType="separate"/>
    </w:r>
    <w:r w:rsidR="0033611B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</w:p>
  <w:p w14:paraId="2C618B67" w14:textId="0AE2683C" w:rsidR="00CD7E29" w:rsidRPr="003511E0" w:rsidRDefault="006C1259">
    <w:pPr>
      <w:pStyle w:val="Footer"/>
      <w:rPr>
        <w:sz w:val="16"/>
      </w:rPr>
    </w:pPr>
    <w:r w:rsidRPr="003511E0">
      <w:rPr>
        <w:sz w:val="16"/>
      </w:rPr>
      <w:fldChar w:fldCharType="begin"/>
    </w:r>
    <w:r w:rsidRPr="003511E0">
      <w:rPr>
        <w:sz w:val="16"/>
      </w:rPr>
      <w:instrText xml:space="preserve"> FILENAME  \* MERGEFORMAT </w:instrText>
    </w:r>
    <w:r w:rsidRPr="003511E0">
      <w:rPr>
        <w:sz w:val="16"/>
      </w:rPr>
      <w:fldChar w:fldCharType="separate"/>
    </w:r>
    <w:r w:rsidRPr="003511E0">
      <w:rPr>
        <w:noProof/>
        <w:sz w:val="16"/>
      </w:rPr>
      <w:t>E</w:t>
    </w:r>
    <w:r w:rsidR="008D5884">
      <w:rPr>
        <w:noProof/>
        <w:sz w:val="16"/>
      </w:rPr>
      <w:t>lectrification &amp; Community</w:t>
    </w:r>
    <w:r w:rsidRPr="003511E0">
      <w:rPr>
        <w:noProof/>
        <w:sz w:val="16"/>
      </w:rPr>
      <w:t xml:space="preserve"> Microgrid</w:t>
    </w:r>
    <w:r w:rsidR="00A31410" w:rsidRPr="00E852B3">
      <w:rPr>
        <w:rFonts w:asciiTheme="minorHAnsi" w:eastAsia="Times New Roman" w:hAnsiTheme="minorHAnsi" w:cs="Times New Roman"/>
        <w:b/>
        <w:bCs/>
        <w:color w:val="454545"/>
        <w:sz w:val="16"/>
        <w:szCs w:val="16"/>
        <w:shd w:val="clear" w:color="auto" w:fill="FFFFFF"/>
        <w:lang w:val="en-US"/>
      </w:rPr>
      <w:t>–</w:t>
    </w:r>
    <w:r w:rsidR="00421B76">
      <w:rPr>
        <w:noProof/>
        <w:sz w:val="16"/>
      </w:rPr>
      <w:t>r</w:t>
    </w:r>
    <w:r w:rsidRPr="003511E0">
      <w:rPr>
        <w:noProof/>
        <w:sz w:val="16"/>
      </w:rPr>
      <w:t xml:space="preserve">eady </w:t>
    </w:r>
    <w:r w:rsidR="008D5884">
      <w:rPr>
        <w:noProof/>
        <w:sz w:val="16"/>
      </w:rPr>
      <w:t>Guidelines</w:t>
    </w:r>
    <w:r w:rsidR="008D5884" w:rsidRPr="003511E0">
      <w:rPr>
        <w:noProof/>
        <w:sz w:val="16"/>
      </w:rPr>
      <w:t xml:space="preserve"> </w:t>
    </w:r>
    <w:r w:rsidRPr="003511E0">
      <w:rPr>
        <w:noProof/>
        <w:sz w:val="16"/>
      </w:rPr>
      <w:t>DRAFT NBCRI (</w:t>
    </w:r>
    <w:r w:rsidR="008D5884">
      <w:rPr>
        <w:noProof/>
        <w:sz w:val="16"/>
      </w:rPr>
      <w:t>2</w:t>
    </w:r>
    <w:r w:rsidRPr="003511E0">
      <w:rPr>
        <w:noProof/>
        <w:sz w:val="16"/>
      </w:rPr>
      <w:t xml:space="preserve">2_mk </w:t>
    </w:r>
    <w:r w:rsidR="008D5884">
      <w:rPr>
        <w:noProof/>
        <w:sz w:val="16"/>
      </w:rPr>
      <w:t>21 Feb</w:t>
    </w:r>
    <w:r w:rsidRPr="003511E0">
      <w:rPr>
        <w:noProof/>
        <w:sz w:val="16"/>
      </w:rPr>
      <w:t xml:space="preserve"> 2019).docx</w:t>
    </w:r>
    <w:r w:rsidRPr="003511E0">
      <w:rPr>
        <w:sz w:val="16"/>
      </w:rPr>
      <w:fldChar w:fldCharType="end"/>
    </w:r>
  </w:p>
  <w:p w14:paraId="6674628F" w14:textId="382DC6AD" w:rsidR="003511E0" w:rsidRPr="003511E0" w:rsidRDefault="003511E0">
    <w:pPr>
      <w:pStyle w:val="Footer"/>
      <w:rPr>
        <w:sz w:val="16"/>
      </w:rPr>
    </w:pPr>
    <w:r w:rsidRPr="003511E0">
      <w:rPr>
        <w:sz w:val="16"/>
      </w:rPr>
      <w:t>Developed for the Clean Coalition’s North Bay Community Resilience Initiative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14D1" w14:textId="51021723" w:rsidR="00CD7E29" w:rsidRPr="00545DF4" w:rsidRDefault="00CD7E29" w:rsidP="00545DF4">
    <w:pPr>
      <w:pStyle w:val="Footer"/>
      <w:jc w:val="right"/>
      <w:rPr>
        <w:rFonts w:asciiTheme="minorHAnsi" w:hAnsiTheme="minorHAnsi"/>
      </w:rPr>
    </w:pPr>
    <w:r w:rsidRPr="00545DF4">
      <w:rPr>
        <w:rFonts w:asciiTheme="minorHAnsi" w:hAnsiTheme="minorHAnsi"/>
      </w:rPr>
      <w:t xml:space="preserve">Page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PAGE </w:instrText>
    </w:r>
    <w:r w:rsidRPr="00545DF4">
      <w:rPr>
        <w:rFonts w:asciiTheme="minorHAnsi" w:hAnsiTheme="minorHAnsi"/>
      </w:rPr>
      <w:fldChar w:fldCharType="separate"/>
    </w:r>
    <w:r w:rsidRPr="00545DF4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  <w:r w:rsidRPr="00545DF4">
      <w:rPr>
        <w:rFonts w:asciiTheme="minorHAnsi" w:hAnsiTheme="minorHAnsi"/>
      </w:rPr>
      <w:t xml:space="preserve"> of </w:t>
    </w:r>
    <w:r w:rsidRPr="00545DF4">
      <w:rPr>
        <w:rFonts w:asciiTheme="minorHAnsi" w:hAnsiTheme="minorHAnsi"/>
      </w:rPr>
      <w:fldChar w:fldCharType="begin"/>
    </w:r>
    <w:r w:rsidRPr="00545DF4">
      <w:rPr>
        <w:rFonts w:asciiTheme="minorHAnsi" w:hAnsiTheme="minorHAnsi"/>
      </w:rPr>
      <w:instrText xml:space="preserve"> NUMPAGES </w:instrText>
    </w:r>
    <w:r w:rsidRPr="00545DF4">
      <w:rPr>
        <w:rFonts w:asciiTheme="minorHAnsi" w:hAnsiTheme="minorHAnsi"/>
      </w:rPr>
      <w:fldChar w:fldCharType="separate"/>
    </w:r>
    <w:r w:rsidRPr="00545DF4">
      <w:rPr>
        <w:rFonts w:asciiTheme="minorHAnsi" w:hAnsiTheme="minorHAnsi"/>
        <w:noProof/>
      </w:rPr>
      <w:t>2</w:t>
    </w:r>
    <w:r w:rsidRPr="00545DF4">
      <w:rPr>
        <w:rFonts w:asciiTheme="minorHAnsi" w:hAnsiTheme="minorHAnsi"/>
      </w:rPr>
      <w:fldChar w:fldCharType="end"/>
    </w:r>
  </w:p>
  <w:p w14:paraId="186084BE" w14:textId="251231FA" w:rsidR="00920FCF" w:rsidRDefault="00920FCF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2718" w14:textId="77777777" w:rsidR="00142288" w:rsidRDefault="00142288">
      <w:r>
        <w:separator/>
      </w:r>
    </w:p>
  </w:footnote>
  <w:footnote w:type="continuationSeparator" w:id="0">
    <w:p w14:paraId="24B54067" w14:textId="77777777" w:rsidR="00142288" w:rsidRDefault="0014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EF8F" w14:textId="559F65BA" w:rsidR="006E5B56" w:rsidRDefault="00142288">
    <w:pPr>
      <w:pStyle w:val="Header"/>
    </w:pPr>
    <w:r>
      <w:rPr>
        <w:noProof/>
      </w:rPr>
      <w:pict w14:anchorId="5F0E8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23D" w14:textId="7E46F000" w:rsidR="00920FCF" w:rsidRDefault="00142288">
    <w:pPr>
      <w:tabs>
        <w:tab w:val="left" w:pos="5697"/>
      </w:tabs>
      <w:spacing w:before="720"/>
      <w:jc w:val="right"/>
    </w:pPr>
    <w:r>
      <w:rPr>
        <w:noProof/>
      </w:rPr>
      <w:pict w14:anchorId="02722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  <w:r w:rsidR="0059534B">
      <w:rPr>
        <w:noProof/>
        <w:lang w:val="en-US"/>
      </w:rPr>
      <w:drawing>
        <wp:inline distT="0" distB="0" distL="0" distR="0" wp14:anchorId="10DC2E9A" wp14:editId="69F475A0">
          <wp:extent cx="2746791" cy="50240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791" cy="502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75593C" w14:textId="77777777" w:rsidR="00920FCF" w:rsidRDefault="00920FCF">
    <w:pPr>
      <w:tabs>
        <w:tab w:val="left" w:pos="5697"/>
      </w:tabs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090E" w14:textId="502540BA" w:rsidR="00920FCF" w:rsidRDefault="0059534B">
    <w:pPr>
      <w:tabs>
        <w:tab w:val="center" w:pos="4320"/>
        <w:tab w:val="right" w:pos="8640"/>
      </w:tabs>
      <w:spacing w:before="720"/>
      <w:jc w:val="right"/>
    </w:pPr>
    <w:r>
      <w:rPr>
        <w:noProof/>
        <w:lang w:val="en-US"/>
      </w:rPr>
      <w:drawing>
        <wp:inline distT="0" distB="0" distL="0" distR="0" wp14:anchorId="02F379A0" wp14:editId="518DA97E">
          <wp:extent cx="2746791" cy="502404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791" cy="502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65BDA" w14:textId="77777777" w:rsidR="00920FCF" w:rsidRDefault="00920FCF">
    <w:pPr>
      <w:tabs>
        <w:tab w:val="center" w:pos="4320"/>
        <w:tab w:val="right" w:pos="8640"/>
      </w:tabs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D4CCD"/>
    <w:multiLevelType w:val="hybridMultilevel"/>
    <w:tmpl w:val="563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2500"/>
    <w:multiLevelType w:val="hybridMultilevel"/>
    <w:tmpl w:val="628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F652BE"/>
    <w:multiLevelType w:val="hybridMultilevel"/>
    <w:tmpl w:val="5E2A0236"/>
    <w:lvl w:ilvl="0" w:tplc="08EECDA8"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6576"/>
    <w:multiLevelType w:val="hybridMultilevel"/>
    <w:tmpl w:val="52E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3FD"/>
    <w:multiLevelType w:val="hybridMultilevel"/>
    <w:tmpl w:val="40A6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CF"/>
    <w:rsid w:val="00014873"/>
    <w:rsid w:val="000352AC"/>
    <w:rsid w:val="00043BFF"/>
    <w:rsid w:val="000634E5"/>
    <w:rsid w:val="000C01B8"/>
    <w:rsid w:val="000C1518"/>
    <w:rsid w:val="000D556E"/>
    <w:rsid w:val="00111770"/>
    <w:rsid w:val="001217CA"/>
    <w:rsid w:val="00141D2C"/>
    <w:rsid w:val="00142288"/>
    <w:rsid w:val="00170E4E"/>
    <w:rsid w:val="00180E70"/>
    <w:rsid w:val="00196FCA"/>
    <w:rsid w:val="001D10AD"/>
    <w:rsid w:val="002061C8"/>
    <w:rsid w:val="0021658B"/>
    <w:rsid w:val="00217302"/>
    <w:rsid w:val="00236857"/>
    <w:rsid w:val="00242A6E"/>
    <w:rsid w:val="0024462A"/>
    <w:rsid w:val="00264582"/>
    <w:rsid w:val="003016BF"/>
    <w:rsid w:val="0032084A"/>
    <w:rsid w:val="00325A2A"/>
    <w:rsid w:val="00325C74"/>
    <w:rsid w:val="0033611B"/>
    <w:rsid w:val="003511E0"/>
    <w:rsid w:val="00382667"/>
    <w:rsid w:val="00394EA9"/>
    <w:rsid w:val="003B2F54"/>
    <w:rsid w:val="003F390E"/>
    <w:rsid w:val="00421B76"/>
    <w:rsid w:val="00432533"/>
    <w:rsid w:val="00444FD6"/>
    <w:rsid w:val="00496A38"/>
    <w:rsid w:val="004B7750"/>
    <w:rsid w:val="004D7F32"/>
    <w:rsid w:val="00502DF1"/>
    <w:rsid w:val="00545DF4"/>
    <w:rsid w:val="0059534B"/>
    <w:rsid w:val="005C04F8"/>
    <w:rsid w:val="005F083D"/>
    <w:rsid w:val="005F1462"/>
    <w:rsid w:val="005F6A49"/>
    <w:rsid w:val="00650D15"/>
    <w:rsid w:val="00664FE2"/>
    <w:rsid w:val="006A7253"/>
    <w:rsid w:val="006B63A4"/>
    <w:rsid w:val="006C1259"/>
    <w:rsid w:val="006E5B56"/>
    <w:rsid w:val="00720659"/>
    <w:rsid w:val="007324C2"/>
    <w:rsid w:val="007B1362"/>
    <w:rsid w:val="007B67DC"/>
    <w:rsid w:val="007F03C8"/>
    <w:rsid w:val="008109A1"/>
    <w:rsid w:val="00821431"/>
    <w:rsid w:val="008308EA"/>
    <w:rsid w:val="008350DF"/>
    <w:rsid w:val="00863323"/>
    <w:rsid w:val="00864F56"/>
    <w:rsid w:val="008B057F"/>
    <w:rsid w:val="008C0CAA"/>
    <w:rsid w:val="008D5884"/>
    <w:rsid w:val="008E43E8"/>
    <w:rsid w:val="00920FCF"/>
    <w:rsid w:val="00934BA7"/>
    <w:rsid w:val="00946F64"/>
    <w:rsid w:val="0095536E"/>
    <w:rsid w:val="00974A24"/>
    <w:rsid w:val="00987408"/>
    <w:rsid w:val="009A2F3B"/>
    <w:rsid w:val="009B4FDB"/>
    <w:rsid w:val="009D7EB4"/>
    <w:rsid w:val="00A31410"/>
    <w:rsid w:val="00A35049"/>
    <w:rsid w:val="00A43DA8"/>
    <w:rsid w:val="00A47A60"/>
    <w:rsid w:val="00AB2229"/>
    <w:rsid w:val="00AC580B"/>
    <w:rsid w:val="00AC7505"/>
    <w:rsid w:val="00B57890"/>
    <w:rsid w:val="00B65941"/>
    <w:rsid w:val="00B814F4"/>
    <w:rsid w:val="00BF3274"/>
    <w:rsid w:val="00CA7006"/>
    <w:rsid w:val="00CC31FD"/>
    <w:rsid w:val="00CD6C60"/>
    <w:rsid w:val="00CD7E29"/>
    <w:rsid w:val="00CE4F5D"/>
    <w:rsid w:val="00CF3463"/>
    <w:rsid w:val="00D025AF"/>
    <w:rsid w:val="00D32993"/>
    <w:rsid w:val="00D57F24"/>
    <w:rsid w:val="00D677B4"/>
    <w:rsid w:val="00DE41D8"/>
    <w:rsid w:val="00DF052E"/>
    <w:rsid w:val="00DF3177"/>
    <w:rsid w:val="00E53C38"/>
    <w:rsid w:val="00E852B3"/>
    <w:rsid w:val="00E92A41"/>
    <w:rsid w:val="00E95158"/>
    <w:rsid w:val="00E96532"/>
    <w:rsid w:val="00F24473"/>
    <w:rsid w:val="00F24C7F"/>
    <w:rsid w:val="00F543C9"/>
    <w:rsid w:val="00F838CA"/>
    <w:rsid w:val="00F9159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E066CE"/>
  <w15:docId w15:val="{FD90C9DC-B1B8-E548-83BB-5FB08E8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5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56"/>
  </w:style>
  <w:style w:type="paragraph" w:styleId="Footer">
    <w:name w:val="footer"/>
    <w:basedOn w:val="Normal"/>
    <w:link w:val="FooterChar"/>
    <w:uiPriority w:val="99"/>
    <w:unhideWhenUsed/>
    <w:rsid w:val="006E5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56"/>
  </w:style>
  <w:style w:type="table" w:styleId="TableGrid">
    <w:name w:val="Table Grid"/>
    <w:basedOn w:val="TableNormal"/>
    <w:uiPriority w:val="39"/>
    <w:rsid w:val="006E5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A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54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CD6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c.pnnl.gov/code-compliance/heat-pump-water-heaters-code-compliance-brief" TargetMode="External"/><Relationship Id="rId13" Type="http://schemas.openxmlformats.org/officeDocument/2006/relationships/hyperlink" Target="http://www.eaton.com/ecm/groups/public/@pub/@electrical/documents/content/pa144001en.pdf" TargetMode="External"/><Relationship Id="rId18" Type="http://schemas.openxmlformats.org/officeDocument/2006/relationships/hyperlink" Target="http://www.eaton.com/ecm/groups/public/@pub/@electrical/documents/content/pa144001en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rb.ca.gov/cc/inventory/data/data.htm" TargetMode="External"/><Relationship Id="rId12" Type="http://schemas.openxmlformats.org/officeDocument/2006/relationships/hyperlink" Target="https://www.enel.com/media/press/d/2017/10/enel-acquires-emotorwerks-to-provide-grid-balancing-solutions-and-tap-into-us-e-mobility-market" TargetMode="External"/><Relationship Id="rId17" Type="http://schemas.openxmlformats.org/officeDocument/2006/relationships/hyperlink" Target="https://www.greentechmedia.com/articles/read/a-new-standard-for-the-smart-grid-ready-home-applia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enadr.org/openadr-and-de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c.pnnl.gov/code-compliance/ductless-mini-split-heat-pumps-code-compliance-brie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sc.pnnl.gov/resource-guides/whole-building-delivered-ventilatio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reenbuildingadvisor.com/article/going-high-tech-with-an-induction-cookto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c.pnnl.gov/resources/heat-pump-clothes-dryers" TargetMode="External"/><Relationship Id="rId14" Type="http://schemas.openxmlformats.org/officeDocument/2006/relationships/hyperlink" Target="https://basc.pnnl.gov/building-science-measures/tight-air-sealed-hom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Coalition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Sarter</dc:creator>
  <cp:lastModifiedBy>John Sarter</cp:lastModifiedBy>
  <cp:revision>3</cp:revision>
  <dcterms:created xsi:type="dcterms:W3CDTF">2019-02-22T15:39:00Z</dcterms:created>
  <dcterms:modified xsi:type="dcterms:W3CDTF">2019-04-06T17:48:00Z</dcterms:modified>
</cp:coreProperties>
</file>